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BE69" w14:textId="77777777" w:rsidR="0058674C" w:rsidRDefault="009C4024" w:rsidP="0086028E">
      <w:pPr>
        <w:pStyle w:val="Titre1"/>
        <w:jc w:val="center"/>
      </w:pPr>
      <w:r>
        <w:t>Modèle type article EPPC</w:t>
      </w:r>
    </w:p>
    <w:p w14:paraId="12419CBC" w14:textId="77777777" w:rsidR="009C4024" w:rsidRDefault="009C4024" w:rsidP="0086028E">
      <w:pPr>
        <w:jc w:val="center"/>
        <w:rPr>
          <w:rFonts w:asciiTheme="majorHAnsi" w:hAnsiTheme="majorHAnsi" w:cstheme="majorHAnsi"/>
          <w:color w:val="002060"/>
        </w:rPr>
      </w:pPr>
    </w:p>
    <w:p w14:paraId="7A26A2EC" w14:textId="77777777" w:rsidR="00B71B99" w:rsidRPr="0086028E" w:rsidRDefault="00E4560B" w:rsidP="00B71B99">
      <w:pPr>
        <w:jc w:val="both"/>
        <w:rPr>
          <w:rFonts w:asciiTheme="majorHAnsi" w:hAnsiTheme="majorHAnsi" w:cstheme="majorHAnsi"/>
          <w:b/>
          <w:i/>
          <w:color w:val="002060"/>
        </w:rPr>
      </w:pPr>
      <w:r w:rsidRPr="0086028E">
        <w:rPr>
          <w:rFonts w:asciiTheme="majorHAnsi" w:hAnsiTheme="majorHAnsi" w:cstheme="majorHAnsi"/>
          <w:b/>
          <w:i/>
          <w:color w:val="002060"/>
        </w:rPr>
        <w:t>Titre court et explicite</w:t>
      </w:r>
    </w:p>
    <w:p w14:paraId="374534A4" w14:textId="77777777" w:rsidR="00B71B99" w:rsidRPr="0086028E" w:rsidRDefault="00291F3C" w:rsidP="00B71B99">
      <w:pPr>
        <w:jc w:val="both"/>
        <w:rPr>
          <w:rFonts w:asciiTheme="majorHAnsi" w:hAnsiTheme="majorHAnsi" w:cstheme="majorHAnsi"/>
          <w:color w:val="002060"/>
          <w:sz w:val="20"/>
        </w:rPr>
      </w:pPr>
      <w:r w:rsidRPr="0086028E">
        <w:rPr>
          <w:rFonts w:asciiTheme="majorHAnsi" w:hAnsiTheme="majorHAnsi" w:cstheme="majorHAnsi"/>
          <w:color w:val="002060"/>
          <w:sz w:val="20"/>
        </w:rPr>
        <w:t>EPPC participe à</w:t>
      </w:r>
      <w:r w:rsidR="0086028E">
        <w:rPr>
          <w:rFonts w:asciiTheme="majorHAnsi" w:hAnsiTheme="majorHAnsi" w:cstheme="majorHAnsi"/>
          <w:color w:val="002060"/>
          <w:sz w:val="20"/>
        </w:rPr>
        <w:t xml:space="preserve"> l’atelier</w:t>
      </w:r>
      <w:r w:rsidRPr="0086028E">
        <w:rPr>
          <w:rFonts w:asciiTheme="majorHAnsi" w:hAnsiTheme="majorHAnsi" w:cstheme="majorHAnsi"/>
          <w:color w:val="002060"/>
          <w:sz w:val="20"/>
        </w:rPr>
        <w:t xml:space="preserve"> de médiation </w:t>
      </w:r>
      <w:r w:rsidR="0086028E">
        <w:rPr>
          <w:rFonts w:asciiTheme="majorHAnsi" w:hAnsiTheme="majorHAnsi" w:cstheme="majorHAnsi"/>
          <w:color w:val="002060"/>
          <w:sz w:val="20"/>
        </w:rPr>
        <w:t>avec</w:t>
      </w:r>
      <w:r w:rsidRPr="0086028E">
        <w:rPr>
          <w:rFonts w:asciiTheme="majorHAnsi" w:hAnsiTheme="majorHAnsi" w:cstheme="majorHAnsi"/>
          <w:color w:val="002060"/>
          <w:sz w:val="20"/>
        </w:rPr>
        <w:t xml:space="preserve"> </w:t>
      </w:r>
      <w:r w:rsidR="0086028E">
        <w:rPr>
          <w:rFonts w:asciiTheme="majorHAnsi" w:hAnsiTheme="majorHAnsi" w:cstheme="majorHAnsi"/>
          <w:color w:val="002060"/>
          <w:sz w:val="20"/>
        </w:rPr>
        <w:t>l</w:t>
      </w:r>
      <w:r w:rsidRPr="0086028E">
        <w:rPr>
          <w:rFonts w:asciiTheme="majorHAnsi" w:hAnsiTheme="majorHAnsi" w:cstheme="majorHAnsi"/>
          <w:color w:val="002060"/>
          <w:sz w:val="20"/>
        </w:rPr>
        <w:t xml:space="preserve">es acteurs économiques de la zone d’activités Metz </w:t>
      </w:r>
      <w:proofErr w:type="spellStart"/>
      <w:r w:rsidRPr="0086028E">
        <w:rPr>
          <w:rFonts w:asciiTheme="majorHAnsi" w:hAnsiTheme="majorHAnsi" w:cstheme="majorHAnsi"/>
          <w:color w:val="002060"/>
          <w:sz w:val="20"/>
        </w:rPr>
        <w:t>Actisud</w:t>
      </w:r>
      <w:proofErr w:type="spellEnd"/>
    </w:p>
    <w:p w14:paraId="7501499F" w14:textId="77777777" w:rsidR="009C4024" w:rsidRPr="0086028E" w:rsidRDefault="00B71B99" w:rsidP="00B71B99">
      <w:pPr>
        <w:jc w:val="both"/>
        <w:rPr>
          <w:rFonts w:asciiTheme="majorHAnsi" w:hAnsiTheme="majorHAnsi" w:cstheme="majorHAnsi"/>
          <w:b/>
          <w:i/>
          <w:color w:val="002060"/>
        </w:rPr>
      </w:pPr>
      <w:r w:rsidRPr="0086028E">
        <w:rPr>
          <w:rFonts w:asciiTheme="majorHAnsi" w:hAnsiTheme="majorHAnsi" w:cstheme="majorHAnsi"/>
          <w:b/>
          <w:i/>
          <w:color w:val="002060"/>
        </w:rPr>
        <w:t>Accroche &gt; événement notable</w:t>
      </w:r>
      <w:r w:rsidR="00291F3C" w:rsidRPr="0086028E">
        <w:rPr>
          <w:rFonts w:asciiTheme="majorHAnsi" w:hAnsiTheme="majorHAnsi" w:cstheme="majorHAnsi"/>
          <w:b/>
          <w:i/>
          <w:color w:val="002060"/>
        </w:rPr>
        <w:t>, actualité particulière, étape de la mission</w:t>
      </w:r>
      <w:r w:rsidR="0086028E">
        <w:rPr>
          <w:rFonts w:asciiTheme="majorHAnsi" w:hAnsiTheme="majorHAnsi" w:cstheme="majorHAnsi"/>
          <w:b/>
          <w:i/>
          <w:color w:val="002060"/>
        </w:rPr>
        <w:t>, …</w:t>
      </w:r>
    </w:p>
    <w:p w14:paraId="4D7254FE" w14:textId="77777777" w:rsidR="0086028E" w:rsidRPr="0086028E" w:rsidRDefault="00B71B99" w:rsidP="00B71B99">
      <w:pPr>
        <w:jc w:val="both"/>
        <w:rPr>
          <w:rFonts w:asciiTheme="majorHAnsi" w:hAnsiTheme="majorHAnsi" w:cstheme="majorHAnsi"/>
          <w:color w:val="002060"/>
          <w:sz w:val="20"/>
        </w:rPr>
      </w:pPr>
      <w:r w:rsidRPr="0086028E">
        <w:rPr>
          <w:rFonts w:asciiTheme="majorHAnsi" w:hAnsiTheme="majorHAnsi" w:cstheme="majorHAnsi"/>
          <w:color w:val="002060"/>
          <w:sz w:val="20"/>
        </w:rPr>
        <w:t xml:space="preserve">EPPC a participé le 29 avril </w:t>
      </w:r>
      <w:r w:rsidR="0086028E">
        <w:rPr>
          <w:rFonts w:asciiTheme="majorHAnsi" w:hAnsiTheme="majorHAnsi" w:cstheme="majorHAnsi"/>
          <w:color w:val="002060"/>
          <w:sz w:val="20"/>
        </w:rPr>
        <w:t>dernier</w:t>
      </w:r>
      <w:r w:rsidRPr="0086028E">
        <w:rPr>
          <w:rFonts w:asciiTheme="majorHAnsi" w:hAnsiTheme="majorHAnsi" w:cstheme="majorHAnsi"/>
          <w:color w:val="002060"/>
          <w:sz w:val="20"/>
        </w:rPr>
        <w:t xml:space="preserve"> à un atelier de </w:t>
      </w:r>
      <w:r w:rsidRPr="0086028E">
        <w:rPr>
          <w:rFonts w:asciiTheme="majorHAnsi" w:hAnsiTheme="majorHAnsi" w:cstheme="majorHAnsi"/>
          <w:b/>
          <w:color w:val="002060"/>
          <w:sz w:val="20"/>
        </w:rPr>
        <w:t xml:space="preserve">travail &amp; médiation avec des acteurs économiques et institutionnels de la zone d’activités commerciales Metz </w:t>
      </w:r>
      <w:proofErr w:type="spellStart"/>
      <w:r w:rsidRPr="0086028E">
        <w:rPr>
          <w:rFonts w:asciiTheme="majorHAnsi" w:hAnsiTheme="majorHAnsi" w:cstheme="majorHAnsi"/>
          <w:b/>
          <w:color w:val="002060"/>
          <w:sz w:val="20"/>
        </w:rPr>
        <w:t>Actisud</w:t>
      </w:r>
      <w:proofErr w:type="spellEnd"/>
      <w:r w:rsidRPr="0086028E">
        <w:rPr>
          <w:rFonts w:asciiTheme="majorHAnsi" w:hAnsiTheme="majorHAnsi" w:cstheme="majorHAnsi"/>
          <w:color w:val="002060"/>
          <w:sz w:val="20"/>
        </w:rPr>
        <w:t>.</w:t>
      </w:r>
      <w:r w:rsidR="00E4560B" w:rsidRPr="0086028E">
        <w:rPr>
          <w:rFonts w:asciiTheme="majorHAnsi" w:hAnsiTheme="majorHAnsi" w:cstheme="majorHAnsi"/>
          <w:color w:val="002060"/>
          <w:sz w:val="20"/>
        </w:rPr>
        <w:t xml:space="preserve"> Cette réunion </w:t>
      </w:r>
      <w:r w:rsidR="00291F3C" w:rsidRPr="0086028E">
        <w:rPr>
          <w:rFonts w:asciiTheme="majorHAnsi" w:hAnsiTheme="majorHAnsi" w:cstheme="majorHAnsi"/>
          <w:color w:val="002060"/>
          <w:sz w:val="20"/>
        </w:rPr>
        <w:t>organisée à l’initiative de la collectivité a permis de</w:t>
      </w:r>
      <w:r w:rsidR="0086028E" w:rsidRPr="0086028E">
        <w:rPr>
          <w:rFonts w:asciiTheme="majorHAnsi" w:hAnsiTheme="majorHAnsi" w:cstheme="majorHAnsi"/>
          <w:color w:val="002060"/>
          <w:sz w:val="20"/>
        </w:rPr>
        <w:t xml:space="preserve"> récolter les ressentis et</w:t>
      </w:r>
      <w:r w:rsidR="0086028E">
        <w:rPr>
          <w:rFonts w:asciiTheme="majorHAnsi" w:hAnsiTheme="majorHAnsi" w:cstheme="majorHAnsi"/>
          <w:color w:val="002060"/>
          <w:sz w:val="20"/>
        </w:rPr>
        <w:t xml:space="preserve"> de partager</w:t>
      </w:r>
      <w:r w:rsidR="0086028E" w:rsidRPr="0086028E">
        <w:rPr>
          <w:rFonts w:asciiTheme="majorHAnsi" w:hAnsiTheme="majorHAnsi" w:cstheme="majorHAnsi"/>
          <w:color w:val="002060"/>
          <w:sz w:val="20"/>
        </w:rPr>
        <w:t xml:space="preserve"> les ambitions portées par </w:t>
      </w:r>
      <w:r w:rsidR="0086028E">
        <w:rPr>
          <w:rFonts w:asciiTheme="majorHAnsi" w:hAnsiTheme="majorHAnsi" w:cstheme="majorHAnsi"/>
          <w:color w:val="002060"/>
          <w:sz w:val="20"/>
        </w:rPr>
        <w:t>des propriétaires et d</w:t>
      </w:r>
      <w:r w:rsidR="0086028E" w:rsidRPr="0086028E">
        <w:rPr>
          <w:rFonts w:asciiTheme="majorHAnsi" w:hAnsiTheme="majorHAnsi" w:cstheme="majorHAnsi"/>
          <w:color w:val="002060"/>
          <w:sz w:val="20"/>
        </w:rPr>
        <w:t xml:space="preserve">es usagers réguliers de la </w:t>
      </w:r>
      <w:r w:rsidR="0086028E">
        <w:rPr>
          <w:rFonts w:asciiTheme="majorHAnsi" w:hAnsiTheme="majorHAnsi" w:cstheme="majorHAnsi"/>
          <w:color w:val="002060"/>
          <w:sz w:val="20"/>
        </w:rPr>
        <w:t>Z</w:t>
      </w:r>
      <w:r w:rsidR="0086028E" w:rsidRPr="0086028E">
        <w:rPr>
          <w:rFonts w:asciiTheme="majorHAnsi" w:hAnsiTheme="majorHAnsi" w:cstheme="majorHAnsi"/>
          <w:color w:val="002060"/>
          <w:sz w:val="20"/>
        </w:rPr>
        <w:t>one.</w:t>
      </w:r>
    </w:p>
    <w:p w14:paraId="36337468" w14:textId="77777777" w:rsidR="009C4024" w:rsidRPr="0086028E" w:rsidRDefault="009C4024" w:rsidP="00B71B99">
      <w:pPr>
        <w:jc w:val="both"/>
        <w:rPr>
          <w:rFonts w:asciiTheme="majorHAnsi" w:hAnsiTheme="majorHAnsi" w:cstheme="majorHAnsi"/>
          <w:b/>
          <w:i/>
          <w:color w:val="002060"/>
        </w:rPr>
      </w:pPr>
      <w:r w:rsidRPr="0086028E">
        <w:rPr>
          <w:rFonts w:asciiTheme="majorHAnsi" w:hAnsiTheme="majorHAnsi" w:cstheme="majorHAnsi"/>
          <w:b/>
          <w:i/>
          <w:color w:val="002060"/>
        </w:rPr>
        <w:t>Description de la mission, détail du rôle d’EPPC</w:t>
      </w:r>
    </w:p>
    <w:p w14:paraId="6F059557" w14:textId="77777777" w:rsidR="009C4024" w:rsidRPr="0086028E" w:rsidRDefault="00291F3C" w:rsidP="00B71B99">
      <w:pPr>
        <w:jc w:val="both"/>
        <w:rPr>
          <w:rFonts w:asciiTheme="majorHAnsi" w:hAnsiTheme="majorHAnsi" w:cstheme="majorHAnsi"/>
          <w:color w:val="002060"/>
          <w:sz w:val="20"/>
        </w:rPr>
      </w:pPr>
      <w:r w:rsidRPr="0086028E">
        <w:rPr>
          <w:rFonts w:asciiTheme="majorHAnsi" w:hAnsiTheme="majorHAnsi" w:cstheme="majorHAnsi"/>
          <w:color w:val="002060"/>
          <w:sz w:val="20"/>
        </w:rPr>
        <w:t>Depuis février</w:t>
      </w:r>
      <w:r w:rsidR="0086028E">
        <w:rPr>
          <w:rFonts w:asciiTheme="majorHAnsi" w:hAnsiTheme="majorHAnsi" w:cstheme="majorHAnsi"/>
          <w:color w:val="002060"/>
          <w:sz w:val="20"/>
        </w:rPr>
        <w:t xml:space="preserve"> 2019</w:t>
      </w:r>
      <w:r w:rsidRPr="0086028E">
        <w:rPr>
          <w:rFonts w:asciiTheme="majorHAnsi" w:hAnsiTheme="majorHAnsi" w:cstheme="majorHAnsi"/>
          <w:color w:val="002060"/>
          <w:sz w:val="20"/>
        </w:rPr>
        <w:t xml:space="preserve">, </w:t>
      </w:r>
      <w:r w:rsidR="00E4560B" w:rsidRPr="0086028E">
        <w:rPr>
          <w:rFonts w:asciiTheme="majorHAnsi" w:hAnsiTheme="majorHAnsi" w:cstheme="majorHAnsi"/>
          <w:color w:val="002060"/>
          <w:sz w:val="20"/>
        </w:rPr>
        <w:t xml:space="preserve">EPPC </w:t>
      </w:r>
      <w:r w:rsidRPr="0086028E">
        <w:rPr>
          <w:rFonts w:asciiTheme="majorHAnsi" w:hAnsiTheme="majorHAnsi" w:cstheme="majorHAnsi"/>
          <w:color w:val="002060"/>
          <w:sz w:val="20"/>
        </w:rPr>
        <w:t xml:space="preserve">est </w:t>
      </w:r>
      <w:r w:rsidR="00E4560B" w:rsidRPr="0086028E">
        <w:rPr>
          <w:rFonts w:asciiTheme="majorHAnsi" w:hAnsiTheme="majorHAnsi" w:cstheme="majorHAnsi"/>
          <w:color w:val="002060"/>
          <w:sz w:val="20"/>
        </w:rPr>
        <w:t>membre</w:t>
      </w:r>
      <w:r w:rsidRPr="0086028E">
        <w:rPr>
          <w:rFonts w:asciiTheme="majorHAnsi" w:hAnsiTheme="majorHAnsi" w:cstheme="majorHAnsi"/>
          <w:color w:val="002060"/>
          <w:sz w:val="20"/>
        </w:rPr>
        <w:t xml:space="preserve"> </w:t>
      </w:r>
      <w:r w:rsidR="00E4560B" w:rsidRPr="0086028E">
        <w:rPr>
          <w:rFonts w:asciiTheme="majorHAnsi" w:hAnsiTheme="majorHAnsi" w:cstheme="majorHAnsi"/>
          <w:color w:val="002060"/>
          <w:sz w:val="20"/>
        </w:rPr>
        <w:t xml:space="preserve">du groupement pluridisciplinaire piloté par Leclercq Associés pour le compte de Metz Métropole et de la Communauté de Communes Mad &amp; Moselle. Ce groupement rassemble Leclercq Associés pour la conception et la programmation urbaine, </w:t>
      </w:r>
      <w:proofErr w:type="spellStart"/>
      <w:r w:rsidR="00E4560B" w:rsidRPr="0086028E">
        <w:rPr>
          <w:rFonts w:asciiTheme="majorHAnsi" w:hAnsiTheme="majorHAnsi" w:cstheme="majorHAnsi"/>
          <w:color w:val="002060"/>
          <w:sz w:val="20"/>
        </w:rPr>
        <w:t>Taktyk</w:t>
      </w:r>
      <w:proofErr w:type="spellEnd"/>
      <w:r w:rsidR="00E4560B" w:rsidRPr="0086028E">
        <w:rPr>
          <w:rFonts w:asciiTheme="majorHAnsi" w:hAnsiTheme="majorHAnsi" w:cstheme="majorHAnsi"/>
          <w:color w:val="002060"/>
          <w:sz w:val="20"/>
        </w:rPr>
        <w:t xml:space="preserve"> pour l’aménagement paysager, ERA </w:t>
      </w:r>
      <w:r w:rsidRPr="0086028E">
        <w:rPr>
          <w:rFonts w:asciiTheme="majorHAnsi" w:hAnsiTheme="majorHAnsi" w:cstheme="majorHAnsi"/>
          <w:color w:val="002060"/>
          <w:sz w:val="20"/>
        </w:rPr>
        <w:t>sur</w:t>
      </w:r>
      <w:r w:rsidR="00E4560B" w:rsidRPr="0086028E">
        <w:rPr>
          <w:rFonts w:asciiTheme="majorHAnsi" w:hAnsiTheme="majorHAnsi" w:cstheme="majorHAnsi"/>
          <w:color w:val="002060"/>
          <w:sz w:val="20"/>
        </w:rPr>
        <w:t xml:space="preserve"> les sujets de mobilité, et EODD </w:t>
      </w:r>
      <w:r w:rsidRPr="0086028E">
        <w:rPr>
          <w:rFonts w:asciiTheme="majorHAnsi" w:hAnsiTheme="majorHAnsi" w:cstheme="majorHAnsi"/>
          <w:color w:val="002060"/>
          <w:sz w:val="20"/>
        </w:rPr>
        <w:t xml:space="preserve">sur </w:t>
      </w:r>
      <w:r w:rsidR="00E4560B" w:rsidRPr="0086028E">
        <w:rPr>
          <w:rFonts w:asciiTheme="majorHAnsi" w:hAnsiTheme="majorHAnsi" w:cstheme="majorHAnsi"/>
          <w:color w:val="002060"/>
          <w:sz w:val="20"/>
        </w:rPr>
        <w:t xml:space="preserve">les enjeux environnementaux. EPPC complète </w:t>
      </w:r>
      <w:r w:rsidRPr="0086028E">
        <w:rPr>
          <w:rFonts w:asciiTheme="majorHAnsi" w:hAnsiTheme="majorHAnsi" w:cstheme="majorHAnsi"/>
          <w:color w:val="002060"/>
          <w:sz w:val="20"/>
        </w:rPr>
        <w:t>cette</w:t>
      </w:r>
      <w:r w:rsidR="00E4560B" w:rsidRPr="0086028E">
        <w:rPr>
          <w:rFonts w:asciiTheme="majorHAnsi" w:hAnsiTheme="majorHAnsi" w:cstheme="majorHAnsi"/>
          <w:color w:val="002060"/>
          <w:sz w:val="20"/>
        </w:rPr>
        <w:t xml:space="preserve"> équipe en apportant son expertise en matière </w:t>
      </w:r>
      <w:r w:rsidR="00E4560B" w:rsidRPr="0086028E">
        <w:rPr>
          <w:rFonts w:asciiTheme="majorHAnsi" w:hAnsiTheme="majorHAnsi" w:cstheme="majorHAnsi"/>
          <w:b/>
          <w:color w:val="002060"/>
          <w:sz w:val="20"/>
        </w:rPr>
        <w:t>d</w:t>
      </w:r>
      <w:r w:rsidRPr="0086028E">
        <w:rPr>
          <w:rFonts w:asciiTheme="majorHAnsi" w:hAnsiTheme="majorHAnsi" w:cstheme="majorHAnsi"/>
          <w:b/>
          <w:color w:val="002060"/>
          <w:sz w:val="20"/>
        </w:rPr>
        <w:t>’analyse de la</w:t>
      </w:r>
      <w:r w:rsidR="00E4560B" w:rsidRPr="0086028E">
        <w:rPr>
          <w:rFonts w:asciiTheme="majorHAnsi" w:hAnsiTheme="majorHAnsi" w:cstheme="majorHAnsi"/>
          <w:b/>
          <w:color w:val="002060"/>
          <w:sz w:val="20"/>
        </w:rPr>
        <w:t xml:space="preserve"> programmation commerciale</w:t>
      </w:r>
      <w:r w:rsidR="00E4560B" w:rsidRPr="0086028E">
        <w:rPr>
          <w:rFonts w:asciiTheme="majorHAnsi" w:hAnsiTheme="majorHAnsi" w:cstheme="majorHAnsi"/>
          <w:color w:val="002060"/>
          <w:sz w:val="20"/>
        </w:rPr>
        <w:t xml:space="preserve"> et de </w:t>
      </w:r>
      <w:r w:rsidR="00E4560B" w:rsidRPr="0086028E">
        <w:rPr>
          <w:rFonts w:asciiTheme="majorHAnsi" w:hAnsiTheme="majorHAnsi" w:cstheme="majorHAnsi"/>
          <w:b/>
          <w:color w:val="002060"/>
          <w:sz w:val="20"/>
        </w:rPr>
        <w:t>pilotage d’opérations de</w:t>
      </w:r>
      <w:r w:rsidR="00E4560B" w:rsidRPr="0086028E">
        <w:rPr>
          <w:rFonts w:asciiTheme="majorHAnsi" w:hAnsiTheme="majorHAnsi" w:cstheme="majorHAnsi"/>
          <w:color w:val="002060"/>
          <w:sz w:val="20"/>
        </w:rPr>
        <w:t xml:space="preserve"> </w:t>
      </w:r>
      <w:r w:rsidR="00E4560B" w:rsidRPr="0086028E">
        <w:rPr>
          <w:rFonts w:asciiTheme="majorHAnsi" w:hAnsiTheme="majorHAnsi" w:cstheme="majorHAnsi"/>
          <w:b/>
          <w:color w:val="002060"/>
          <w:sz w:val="20"/>
        </w:rPr>
        <w:t>restructuration de zones commerciales de périphérie</w:t>
      </w:r>
      <w:r w:rsidR="00E4560B" w:rsidRPr="0086028E">
        <w:rPr>
          <w:rFonts w:asciiTheme="majorHAnsi" w:hAnsiTheme="majorHAnsi" w:cstheme="majorHAnsi"/>
          <w:color w:val="002060"/>
          <w:sz w:val="20"/>
        </w:rPr>
        <w:t>. Le groupement a rendu son diagnostic devant les élus et services des collectivités, ainsi qu’a</w:t>
      </w:r>
      <w:r w:rsidR="0086028E">
        <w:rPr>
          <w:rFonts w:asciiTheme="majorHAnsi" w:hAnsiTheme="majorHAnsi" w:cstheme="majorHAnsi"/>
          <w:color w:val="002060"/>
          <w:sz w:val="20"/>
        </w:rPr>
        <w:t>u</w:t>
      </w:r>
      <w:r w:rsidR="00E4560B" w:rsidRPr="0086028E">
        <w:rPr>
          <w:rFonts w:asciiTheme="majorHAnsi" w:hAnsiTheme="majorHAnsi" w:cstheme="majorHAnsi"/>
          <w:color w:val="002060"/>
          <w:sz w:val="20"/>
        </w:rPr>
        <w:t>près de représentants des propriétaires de la zone d’activités, à la fin du mois du mai et</w:t>
      </w:r>
      <w:r w:rsidRPr="0086028E">
        <w:rPr>
          <w:rFonts w:asciiTheme="majorHAnsi" w:hAnsiTheme="majorHAnsi" w:cstheme="majorHAnsi"/>
          <w:color w:val="002060"/>
          <w:sz w:val="20"/>
        </w:rPr>
        <w:t xml:space="preserve"> rentre </w:t>
      </w:r>
      <w:r w:rsidR="0086028E">
        <w:rPr>
          <w:rFonts w:asciiTheme="majorHAnsi" w:hAnsiTheme="majorHAnsi" w:cstheme="majorHAnsi"/>
          <w:color w:val="002060"/>
          <w:sz w:val="20"/>
        </w:rPr>
        <w:t xml:space="preserve">à présent </w:t>
      </w:r>
      <w:r w:rsidRPr="0086028E">
        <w:rPr>
          <w:rFonts w:asciiTheme="majorHAnsi" w:hAnsiTheme="majorHAnsi" w:cstheme="majorHAnsi"/>
          <w:color w:val="002060"/>
          <w:sz w:val="20"/>
        </w:rPr>
        <w:t>dans la phase de préconisations et de conception du Schéma Directeur.</w:t>
      </w:r>
    </w:p>
    <w:p w14:paraId="443F2976" w14:textId="77777777" w:rsidR="009C4024" w:rsidRPr="0086028E" w:rsidRDefault="009C4024" w:rsidP="00B71B99">
      <w:pPr>
        <w:jc w:val="both"/>
        <w:rPr>
          <w:rFonts w:asciiTheme="majorHAnsi" w:hAnsiTheme="majorHAnsi" w:cstheme="majorHAnsi"/>
          <w:b/>
          <w:i/>
          <w:color w:val="002060"/>
        </w:rPr>
      </w:pPr>
      <w:r w:rsidRPr="0086028E">
        <w:rPr>
          <w:rFonts w:asciiTheme="majorHAnsi" w:hAnsiTheme="majorHAnsi" w:cstheme="majorHAnsi"/>
          <w:b/>
          <w:i/>
          <w:color w:val="002060"/>
        </w:rPr>
        <w:t>Conclusion</w:t>
      </w:r>
      <w:r w:rsidR="0086028E">
        <w:rPr>
          <w:rFonts w:asciiTheme="majorHAnsi" w:hAnsiTheme="majorHAnsi" w:cstheme="majorHAnsi"/>
          <w:b/>
          <w:i/>
          <w:color w:val="002060"/>
        </w:rPr>
        <w:t xml:space="preserve"> &gt; enjeux et ouverture</w:t>
      </w:r>
    </w:p>
    <w:p w14:paraId="46265B46" w14:textId="77777777" w:rsidR="009C4024" w:rsidRPr="0086028E" w:rsidRDefault="00E4560B" w:rsidP="00B71B99">
      <w:pPr>
        <w:jc w:val="both"/>
        <w:rPr>
          <w:rFonts w:asciiTheme="majorHAnsi" w:hAnsiTheme="majorHAnsi" w:cstheme="majorHAnsi"/>
          <w:color w:val="002060"/>
          <w:sz w:val="20"/>
        </w:rPr>
      </w:pPr>
      <w:r w:rsidRPr="0086028E">
        <w:rPr>
          <w:rFonts w:asciiTheme="majorHAnsi" w:hAnsiTheme="majorHAnsi" w:cstheme="majorHAnsi"/>
          <w:color w:val="002060"/>
          <w:sz w:val="20"/>
        </w:rPr>
        <w:t>Au-delà du cas d’</w:t>
      </w:r>
      <w:proofErr w:type="spellStart"/>
      <w:r w:rsidRPr="0086028E">
        <w:rPr>
          <w:rFonts w:asciiTheme="majorHAnsi" w:hAnsiTheme="majorHAnsi" w:cstheme="majorHAnsi"/>
          <w:color w:val="002060"/>
          <w:sz w:val="20"/>
        </w:rPr>
        <w:t>Actisud</w:t>
      </w:r>
      <w:proofErr w:type="spellEnd"/>
      <w:r w:rsidRPr="0086028E">
        <w:rPr>
          <w:rFonts w:asciiTheme="majorHAnsi" w:hAnsiTheme="majorHAnsi" w:cstheme="majorHAnsi"/>
          <w:color w:val="002060"/>
          <w:sz w:val="20"/>
        </w:rPr>
        <w:t xml:space="preserve">, deuxième zone commerciale de France, EPPC souhaite élaborer une </w:t>
      </w:r>
      <w:r w:rsidRPr="0086028E">
        <w:rPr>
          <w:rFonts w:asciiTheme="majorHAnsi" w:hAnsiTheme="majorHAnsi" w:cstheme="majorHAnsi"/>
          <w:b/>
          <w:color w:val="002060"/>
          <w:sz w:val="20"/>
        </w:rPr>
        <w:t>méthodologie d’analyse et d’intervention en matière de restructuration des zones commerciales de périphérie</w:t>
      </w:r>
      <w:r w:rsidRPr="0086028E">
        <w:rPr>
          <w:rFonts w:asciiTheme="majorHAnsi" w:hAnsiTheme="majorHAnsi" w:cstheme="majorHAnsi"/>
          <w:color w:val="002060"/>
          <w:sz w:val="20"/>
        </w:rPr>
        <w:t xml:space="preserve"> dont le devenir pose question actuellement</w:t>
      </w:r>
      <w:r w:rsidR="0086028E">
        <w:rPr>
          <w:rFonts w:asciiTheme="majorHAnsi" w:hAnsiTheme="majorHAnsi" w:cstheme="majorHAnsi"/>
          <w:color w:val="002060"/>
          <w:sz w:val="20"/>
        </w:rPr>
        <w:t xml:space="preserve"> sur tout le territoire</w:t>
      </w:r>
      <w:r w:rsidRPr="0086028E">
        <w:rPr>
          <w:rFonts w:asciiTheme="majorHAnsi" w:hAnsiTheme="majorHAnsi" w:cstheme="majorHAnsi"/>
          <w:color w:val="002060"/>
          <w:sz w:val="20"/>
        </w:rPr>
        <w:t>.</w:t>
      </w:r>
    </w:p>
    <w:p w14:paraId="48886A3D" w14:textId="77777777" w:rsidR="00B71B99" w:rsidRPr="0086028E" w:rsidRDefault="00B71B99" w:rsidP="00B71B99">
      <w:pPr>
        <w:jc w:val="both"/>
        <w:rPr>
          <w:rFonts w:asciiTheme="majorHAnsi" w:hAnsiTheme="majorHAnsi" w:cstheme="majorHAnsi"/>
          <w:b/>
          <w:i/>
          <w:color w:val="002060"/>
        </w:rPr>
      </w:pPr>
      <w:r w:rsidRPr="0086028E">
        <w:rPr>
          <w:rFonts w:asciiTheme="majorHAnsi" w:hAnsiTheme="majorHAnsi" w:cstheme="majorHAnsi"/>
          <w:b/>
          <w:i/>
          <w:color w:val="002060"/>
        </w:rPr>
        <w:t>Illustration pour accompagner l’article</w:t>
      </w:r>
    </w:p>
    <w:p w14:paraId="34608FE3" w14:textId="77777777" w:rsidR="00B71B99" w:rsidRPr="00B71B99" w:rsidRDefault="00291F3C" w:rsidP="00E4560B">
      <w:pPr>
        <w:jc w:val="center"/>
        <w:rPr>
          <w:rFonts w:asciiTheme="majorHAnsi" w:hAnsiTheme="majorHAnsi" w:cstheme="majorHAnsi"/>
          <w:color w:val="002060"/>
        </w:rPr>
      </w:pPr>
      <w:r w:rsidRPr="00291F3C">
        <w:rPr>
          <w:rFonts w:asciiTheme="majorHAnsi" w:hAnsiTheme="majorHAnsi" w:cstheme="majorHAns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3234055</wp:posOffset>
                </wp:positionV>
                <wp:extent cx="1593850" cy="2438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E2F6" w14:textId="77777777" w:rsidR="00291F3C" w:rsidRPr="00291F3C" w:rsidRDefault="00291F3C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</w:rPr>
                            </w:pPr>
                            <w:r w:rsidRPr="00291F3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</w:rPr>
                              <w:t>©EPPC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.65pt;margin-top:254.65pt;width:125.5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" filled="f" stroked="f">
                <v:textbox>
                  <w:txbxContent>
                    <w:p w14:paraId="375DE2F6" w14:textId="77777777" w:rsidR="00291F3C" w:rsidRPr="00291F3C" w:rsidRDefault="00291F3C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</w:rPr>
                      </w:pPr>
                      <w:r w:rsidRPr="00291F3C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</w:rPr>
                        <w:t>©EPPC</w:t>
                      </w:r>
                    </w:p>
                  </w:txbxContent>
                </v:textbox>
              </v:shape>
            </w:pict>
          </mc:Fallback>
        </mc:AlternateContent>
      </w:r>
      <w:r w:rsidR="00E4560B">
        <w:rPr>
          <w:noProof/>
        </w:rPr>
        <w:drawing>
          <wp:inline distT="0" distB="0" distL="0" distR="0">
            <wp:extent cx="4643120" cy="3482340"/>
            <wp:effectExtent l="0" t="0" r="508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03" cy="348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B99" w:rsidRPr="00B7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24"/>
    <w:rsid w:val="00291F3C"/>
    <w:rsid w:val="0058674C"/>
    <w:rsid w:val="0086028E"/>
    <w:rsid w:val="009C4024"/>
    <w:rsid w:val="00B71B99"/>
    <w:rsid w:val="00E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A9C0"/>
  <w15:chartTrackingRefBased/>
  <w15:docId w15:val="{258056CD-707B-4E65-8CF6-8B7BADC6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4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4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Arrivé</dc:creator>
  <cp:keywords/>
  <dc:description/>
  <cp:lastModifiedBy>Félix Arrivé</cp:lastModifiedBy>
  <cp:revision>2</cp:revision>
  <dcterms:created xsi:type="dcterms:W3CDTF">2019-05-22T12:36:00Z</dcterms:created>
  <dcterms:modified xsi:type="dcterms:W3CDTF">2019-05-22T13:28:00Z</dcterms:modified>
</cp:coreProperties>
</file>